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CN-0347 · Labour</w:t>
      </w:r>
    </w:p>
    <w:p>
      <w:pPr>
        <w:pStyle w:val="Title"/>
      </w:pPr>
      <w:r>
        <w:t xml:space="preserve">Gratuity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lump sum paid at the end of long service, who qualifies, and the grounds on which it can be forfeited.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Payment of Gratuity Act, 1972, § 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https://firstprecedent.org/concepts/gratuity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