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CN-0124 · Administrative</w:t>
      </w:r>
    </w:p>
    <w:p>
      <w:pPr>
        <w:pStyle w:val="Title"/>
      </w:pPr>
      <w:r>
        <w:t xml:space="preserve">Government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formalities a contract with the Union or a State must satisfy, and what happens to one that does not satisfy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299</w:t>
      </w:r>
    </w:p>
    <w:p>
      <w:pPr>
        <w:pStyle w:val="Bullet"/>
      </w:pPr>
      <w:r>
        <w:t xml:space="preserve">•  K.P. Chowdhry v. State of M.P., AIR 1967 SC 203</w:t>
      </w:r>
    </w:p>
    <w:p>
      <w:pPr>
        <w:pStyle w:val="Bullet"/>
      </w:pPr>
      <w:r>
        <w:t xml:space="preserve">•  State of West Bengal v. B.K. Mondal &amp; Sons, AIR 1962 SC 779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https://firstprecedent.org/concepts/government-contract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