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CN-0601 · Corporate</w:t>
      </w:r>
    </w:p>
    <w:p>
      <w:pPr>
        <w:pStyle w:val="Title"/>
      </w:pPr>
      <w:r>
        <w:t xml:space="preserve">Government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company in which government holds at least fifty-one per cent, and the special audit regime that applies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2(45), 143(5)–(7)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https://firstprecedent.org/concepts/government-company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