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CN-0493 · Criminal</w:t>
      </w:r>
    </w:p>
    <w:p>
      <w:pPr>
        <w:pStyle w:val="Title"/>
      </w:pPr>
      <w:r>
        <w:t xml:space="preserve">Good Faith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Code’s requirement of due care and attention, which makes good faith in criminal law stricter than honesty alone.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52 (now Bharatiya Nyaya Sanhita, 2023, § 2(11))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https://firstprecedent.org/concepts/good-faith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