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CN-0238 · Property</w:t>
      </w:r>
    </w:p>
    <w:p>
      <w:pPr>
        <w:pStyle w:val="Title"/>
      </w:pPr>
      <w:r>
        <w:t xml:space="preserve">Gift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voluntary transfer without consideration, how it is made and accepted, and when it can be revoked.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122–126</w:t>
      </w:r>
    </w:p>
    <w:p>
      <w:pPr>
        <w:pStyle w:val="Bullet"/>
      </w:pPr>
      <w:r>
        <w:t xml:space="preserve">•  Renikuntla Rajamma v. K. Sarwanamma, (2014) 9 SCC 445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https://firstprecedent.org/concepts/gift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