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CN-0739 · International (Public)</w:t>
      </w:r>
    </w:p>
    <w:p>
      <w:pPr>
        <w:pStyle w:val="Title"/>
      </w:pPr>
      <w:r>
        <w:t xml:space="preserve">Genocide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Acts committed with intent to destroy a national, ethnic, racial or religious group, in whole or in part.</w:t>
      </w:r>
    </w:p>
    <w:p>
      <w:pPr>
        <w:pStyle w:val="Guidance"/>
      </w:pPr>
      <w:r>
        <w:t xml:space="preserve">Authorities to start from. These are places to begin, listed by the editors. Read each one in the original and check the citation before you rely on it.</w:t>
      </w:r>
    </w:p>
    <w:p>
      <w:pPr>
        <w:pStyle w:val="Bullet"/>
      </w:pPr>
      <w:r>
        <w:t xml:space="preserve">•  Convention on the Prevention and Punishment of the Crime of Genocide, Dec. 9, 1948, 78 U.N.T.S. 277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https://firstprecedent.org/concepts/genocide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