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CN-0745 · International (Public)</w:t>
      </w:r>
    </w:p>
    <w:p>
      <w:pPr>
        <w:pStyle w:val="Title"/>
      </w:pPr>
      <w:r>
        <w:t xml:space="preserve">General Exceptions in Trade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grounds, such as health and conservation, on which a State may depart from its trade obligations.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General Agreement on Tariffs and Trade, art. XX, Oct. 30, 1947, 55 U.N.T.S. 194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https://firstprecedent.org/concepts/general-exceptions-in-trade-law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