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CN-0072 · Constitutional</w:t>
      </w:r>
    </w:p>
    <w:p>
      <w:pPr>
        <w:pStyle w:val="Title"/>
      </w:pPr>
      <w:r>
        <w:t xml:space="preserve">Fundamental Duties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duties listed in Part IVA, whether a court can enforce them, and how they are used to read other provisions.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51A</w:t>
      </w:r>
    </w:p>
    <w:p>
      <w:pPr>
        <w:pStyle w:val="Bullet"/>
      </w:pPr>
      <w:r>
        <w:t xml:space="preserve">•  AIIMS Students’ Union v. AIIMS, (2002) 1 SCC 428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https://firstprecedent.org/concepts/fundamental-duties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