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CN-0308 · Securities</w:t>
      </w:r>
    </w:p>
    <w:p>
      <w:pPr>
        <w:pStyle w:val="Title"/>
      </w:pPr>
      <w:r>
        <w:t xml:space="preserve">Front-Running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Trading ahead of a large order one knows is coming, and how it was brought within the fraud regulations.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Fraudulent and Unfair Trade Practices) Regulations, 2003, regs. 3–4</w:t>
      </w:r>
    </w:p>
    <w:p>
      <w:pPr>
        <w:pStyle w:val="Bullet"/>
      </w:pPr>
      <w:r>
        <w:t xml:space="preserve">•  SEBI v. Kanaiyalal Baldevbhai Patel, (2017) 15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https://firstprecedent.org/concepts/front-running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