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CN-0079 · Constitutional</w:t>
      </w:r>
    </w:p>
    <w:p>
      <w:pPr>
        <w:pStyle w:val="Title"/>
      </w:pPr>
      <w:r>
        <w:t xml:space="preserve">Freedom of Trade, Commerce and Intercourse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freedom of trade across and within States under Part XIII, and when a tax or regulation offends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301–307</w:t>
      </w:r>
    </w:p>
    <w:p>
      <w:pPr>
        <w:pStyle w:val="Bullet"/>
      </w:pPr>
      <w:r>
        <w:t xml:space="preserve">•  Atiabari Tea Co. Ltd. v. State of Assam, AIR 1961 SC 232</w:t>
      </w:r>
    </w:p>
    <w:p>
      <w:pPr>
        <w:pStyle w:val="Bullet"/>
      </w:pPr>
      <w:r>
        <w:t xml:space="preserve">•  Jindal Stainless Ltd. v. State of Haryana, (2017) 12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https://firstprecedent.org/concepts/freedom-of-trade-and-commerce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