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CN-0440 · Constitutional</w:t>
      </w:r>
    </w:p>
    <w:p>
      <w:pPr>
        <w:pStyle w:val="Title"/>
      </w:pPr>
      <w:r>
        <w:t xml:space="preserve">Freedom of Profession, Trade and Business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right to carry on any occupation, the State’s power to regulate and to create monopolies, and trades that are not protected at all.</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19(1)(g), (6)</w:t>
      </w:r>
    </w:p>
    <w:p>
      <w:pPr>
        <w:pStyle w:val="Bullet"/>
      </w:pPr>
      <w:r>
        <w:t xml:space="preserve">•  Chintaman Rao v. State of M.P., AIR 1951 SC 118</w:t>
      </w:r>
    </w:p>
    <w:p>
      <w:pPr>
        <w:pStyle w:val="Bullet"/>
      </w:pPr>
      <w:r>
        <w:t xml:space="preserve">•  Sodan Singh v. New Delhi Municipal Committee, (1989) 4 SCC 155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https://firstprecedent.org/concepts/freedom-of-profession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