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CN-0443 · Constitutional</w:t>
      </w:r>
    </w:p>
    <w:p>
      <w:pPr>
        <w:pStyle w:val="Title"/>
      </w:pPr>
      <w:r>
        <w:t xml:space="preserve">Freedom of Conscience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hold and act on sincere belief, including by staying silent, where no law and no ground of public order stands in the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25(1)</w:t>
      </w:r>
    </w:p>
    <w:p>
      <w:pPr>
        <w:pStyle w:val="Bullet"/>
      </w:pPr>
      <w:r>
        <w:t xml:space="preserve">•  Bijoe Emmanuel v. State of Kerala, (1986) 3 SCC 615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https://firstprecedent.org/concepts/freedom-of-conscience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