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CN-0102 · Constitutional</w:t>
      </w:r>
    </w:p>
    <w:p>
      <w:pPr>
        <w:pStyle w:val="Title"/>
      </w:pPr>
      <w:r>
        <w:t xml:space="preserve">Freedom of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form and to continue an association, whether it covers the right to have the association recognised,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19(1)(c)</w:t>
      </w:r>
    </w:p>
    <w:p>
      <w:pPr>
        <w:pStyle w:val="Bullet"/>
      </w:pPr>
      <w:r>
        <w:t xml:space="preserve">•  Damyanti Naranga v. Union of India, (1971) 1 SCC 678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https://firstprecedent.org/concepts/freedom-of-association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