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CN-0545 · Civil Procedure</w:t>
      </w:r>
    </w:p>
    <w:p>
      <w:pPr>
        <w:pStyle w:val="Title"/>
      </w:pPr>
      <w:r>
        <w:t xml:space="preserve">Fraud and Mistake in Limitation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rule that time does not run until the plaintiff discovers a fraud or mistake, or could have with reasonable diligence.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Limitation Act, 1963, § 17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https://firstprecedent.org/concepts/fraud-and-mistake-in-limitation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