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CN-0144 · Criminal</w:t>
      </w:r>
    </w:p>
    <w:p>
      <w:pPr>
        <w:pStyle w:val="Title"/>
      </w:pPr>
      <w:r>
        <w:t xml:space="preserve">Forgery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Making a false document with intent to cause damage or support a claim, and why signing in one’s own name is usually not forgery.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463, 464 (now Bharatiya Nyaya Sanhita, 2023, §§ 335, 336)</w:t>
      </w:r>
    </w:p>
    <w:p>
      <w:pPr>
        <w:pStyle w:val="Bullet"/>
      </w:pPr>
      <w:r>
        <w:t xml:space="preserve">•  Mohd. Ibrahim v. State of Bihar, (2009) 8 SCC 751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https://firstprecedent.org/concepts/forgery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