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CN-0382 · Environment</w:t>
      </w:r>
    </w:p>
    <w:p>
      <w:pPr>
        <w:pStyle w:val="Title"/>
      </w:pPr>
      <w:r>
        <w:t xml:space="preserve">Forest Rights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individual and community rights of forest-dwelling tribes and other traditional dwellers, and the gram sabha’s part in deciding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Scheduled Tribes and Other Traditional Forest Dwellers (Recognition of Forest Rights) Act, 2006, §§ 3, 6</w:t>
      </w:r>
    </w:p>
    <w:p>
      <w:pPr>
        <w:pStyle w:val="Bullet"/>
      </w:pPr>
      <w:r>
        <w:t xml:space="preserve">•  Orissa Mining Corpn. Ltd. v. Ministry of Environment &amp; Forests, (2013) 6 SCC 476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https://firstprecedent.org/concepts/forest-rights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