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CN-0411 · Private International</w:t>
      </w:r>
    </w:p>
    <w:p>
      <w:pPr>
        <w:pStyle w:val="Title"/>
      </w:pPr>
      <w:r>
        <w:t xml:space="preserve">Foreign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Marriage of an Indian citizen abroad, before a marriage officer or under local law, and its recognition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Marriage Act, 1969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https://firstprecedent.org/concepts/foreign-marriage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