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CN-0108 · Constitutional</w:t>
      </w:r>
    </w:p>
    <w:p>
      <w:pPr>
        <w:pStyle w:val="Title"/>
      </w:pPr>
      <w:r>
        <w:t xml:space="preserve">Floor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vote on the floor of the House as the only proper way to test a government’s majority, and who may order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S.R. Bommai v. Union of India, (1994) 3 SCC 1</w:t>
      </w:r>
    </w:p>
    <w:p>
      <w:pPr>
        <w:pStyle w:val="Bullet"/>
      </w:pPr>
      <w:r>
        <w:t xml:space="preserve">•  Shivraj Singh Chouhan v. Speaker, M.P. Legislative Assembly, (2020) 17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https://firstprecedent.org/concepts/floor-test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