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CN-0145 · Criminal</w:t>
      </w:r>
    </w:p>
    <w:p>
      <w:pPr>
        <w:pStyle w:val="Title"/>
      </w:pPr>
      <w:r>
        <w:t xml:space="preserve">First Information Report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first report of a cognizable offence to the police, the duty to register it, and its use as evidence at the trial.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154 (now Bharatiya Nagarik Suraksha Sanhita, 2023, § 173)</w:t>
      </w:r>
    </w:p>
    <w:p>
      <w:pPr>
        <w:pStyle w:val="Bullet"/>
      </w:pPr>
      <w:r>
        <w:t xml:space="preserve">•  Lalita Kumari v. Govt. of U.P., (2014)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https://firstprecedent.org/concepts/first-information-report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