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CN-0050 · Banking</w:t>
      </w:r>
    </w:p>
    <w:p>
      <w:pPr>
        <w:pStyle w:val="Title"/>
      </w:pPr>
      <w:r>
        <w:t xml:space="preserve">Financial Debt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Debt disbursed against the time value of money: the definition that decides who sits on a committee of creditors.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5(8)</w:t>
      </w:r>
    </w:p>
    <w:p>
      <w:pPr>
        <w:pStyle w:val="Bullet"/>
      </w:pPr>
      <w:r>
        <w:t xml:space="preserve">•  Pioneer Urban Land &amp; Infrastructure Ltd. v. Union of India, (2019) 8 SCC 416</w:t>
      </w:r>
    </w:p>
    <w:p>
      <w:pPr>
        <w:pStyle w:val="Bullet"/>
      </w:pPr>
      <w:r>
        <w:t xml:space="preserve">•  Anuj Jain v. Axis Bank Ltd., (2020) 8 SCC 401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https://firstprecedent.org/concepts/financial-debt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