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CN-0009 · Constitutional</w:t>
      </w:r>
    </w:p>
    <w:p>
      <w:pPr>
        <w:pStyle w:val="Title"/>
      </w:pPr>
      <w:r>
        <w:t xml:space="preserve">Federalism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Whether India is federal, quasi-federal or sui generis; the distribution of powers; and the unitary features that pull the other way.</w:t>
      </w:r>
    </w:p>
    <w:p>
      <w:pPr>
        <w:pStyle w:val="Guidance"/>
      </w:pPr>
      <w:r>
        <w:t xml:space="preserve">Authorities to start from. These are places to begin, listed by the editors. Read each one in the original and check the citation before you rely on it.</w:t>
      </w:r>
    </w:p>
    <w:p>
      <w:pPr>
        <w:pStyle w:val="Bullet"/>
      </w:pPr>
      <w:r>
        <w:t xml:space="preserve">•  State of West Bengal v. Union of India, AIR 1963 SC 1241</w:t>
      </w:r>
    </w:p>
    <w:p>
      <w:pPr>
        <w:pStyle w:val="Bullet"/>
      </w:pPr>
      <w:r>
        <w:t xml:space="preserve">•  S.R. Bommai v. Union of India, (1994) 3 SCC 1</w:t>
      </w:r>
    </w:p>
    <w:p>
      <w:pPr>
        <w:pStyle w:val="Bullet"/>
      </w:pPr>
      <w:r>
        <w:t xml:space="preserve">•  State (NCT of Delhi) v. Union of India, (2018) 8 SCC 501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https://firstprecedent.org/concepts/federalism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