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CN-0231 · Tort</w:t>
      </w:r>
    </w:p>
    <w:p>
      <w:pPr>
        <w:pStyle w:val="Title"/>
      </w:pPr>
      <w:r>
        <w:t xml:space="preserve">False Imprisonment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Total restraint of a person’s liberty without lawful justification, and the damages awarded against the State for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Bhim Singh v. State of J&amp;K, (1985) 4 SCC 677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https://firstprecedent.org/concepts/false-imprisonment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