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CN-0348 · Labour</w:t>
      </w:r>
    </w:p>
    <w:p>
      <w:pPr>
        <w:pStyle w:val="Title"/>
      </w:pPr>
      <w:r>
        <w:t xml:space="preserve">Factory and Occupier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premises the Factories Act covers, and the person with ultimate control who answers for safety there.</w:t>
      </w:r>
    </w:p>
    <w:p>
      <w:pPr>
        <w:pStyle w:val="Guidance"/>
      </w:pPr>
      <w:r>
        <w:t xml:space="preserve">Authorities to start from. These are places to begin, listed by the editors. Read each one in the original and check the citation before you rely on it.</w:t>
      </w:r>
    </w:p>
    <w:p>
      <w:pPr>
        <w:pStyle w:val="Bullet"/>
      </w:pPr>
      <w:r>
        <w:t xml:space="preserve">•  Factories Act, 1948, §§ 2(m), 2(n)</w:t>
      </w:r>
    </w:p>
    <w:p>
      <w:pPr>
        <w:pStyle w:val="Bullet"/>
      </w:pPr>
      <w:r>
        <w:t xml:space="preserve">•  J.K. Industries Ltd. v. Chief Inspector of Factories, (1996) 6 SCC 665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https://firstprecedent.org/concepts/factory-and-occupier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