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CN-0165 · Evidence</w:t>
      </w:r>
    </w:p>
    <w:p>
      <w:pPr>
        <w:pStyle w:val="Title"/>
      </w:pPr>
      <w:r>
        <w:t xml:space="preserve">Extra-Judicial Confession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confession made to someone other than a magistrate or the police, why it is treated as weak evidence, and when it can support a conviction.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Sahadevan v. State of T.N., (2012) 6 SCC 403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https://firstprecedent.org/concepts/extra-judicial-confession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