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CN-0407 · International (Public)</w:t>
      </w:r>
    </w:p>
    <w:p>
      <w:pPr>
        <w:pStyle w:val="Title"/>
      </w:pPr>
      <w:r>
        <w:t xml:space="preserve">Expropriation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taking of a foreign investor’s property by a State, directly or by regulation, and the compensation international law requires.</w:t>
      </w:r>
    </w:p>
    <w:p>
      <w:pPr>
        <w:pStyle w:val="Guidance"/>
      </w:pPr>
      <w:r>
        <w:t xml:space="preserve">Authorities to start from. These are places to begin, listed by the editors. Read each one in the original and check the citation before you rely on it.</w:t>
      </w:r>
    </w:p>
    <w:p>
      <w:pPr>
        <w:pStyle w:val="Bullet"/>
      </w:pPr>
      <w:r>
        <w:t xml:space="preserve">•  White Industries Australia Ltd. v. Republic of India, UNCITRAL, Final Award (Nov. 30, 2011)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https://firstprecedent.org/concepts/expropriation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