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CN-0167 · Evidence</w:t>
      </w:r>
    </w:p>
    <w:p>
      <w:pPr>
        <w:pStyle w:val="Title"/>
      </w:pPr>
      <w:r>
        <w:t xml:space="preserve">Expert Opinion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the opinion of a person with special skill is relevant, how much weight it carries, and whether it needs corroboration.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45 (now Bharatiya Sakshya Adhiniyam, 2023, § 39)</w:t>
      </w:r>
    </w:p>
    <w:p>
      <w:pPr>
        <w:pStyle w:val="Bullet"/>
      </w:pPr>
      <w:r>
        <w:t xml:space="preserve">•  Murari Lal v. State of M.P., (1980) 1 SCC 704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https://firstprecedent.org/concepts/expert-opinion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