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CN-0471 · Administrative</w:t>
      </w:r>
    </w:p>
    <w:p>
      <w:pPr>
        <w:pStyle w:val="Title"/>
      </w:pPr>
      <w:r>
        <w:t xml:space="preserve">Exemptions from Disclosure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categories of information a public authority may withhold, and the override where the public interest in disclosure is greater.</w:t>
      </w:r>
    </w:p>
    <w:p>
      <w:pPr>
        <w:pStyle w:val="Guidance"/>
      </w:pPr>
      <w:r>
        <w:t xml:space="preserve">Authorities to start from. These are places to begin, listed by the editors. Read each one in the original and check the citation before you rely on it.</w:t>
      </w:r>
    </w:p>
    <w:p>
      <w:pPr>
        <w:pStyle w:val="Bullet"/>
      </w:pPr>
      <w:r>
        <w:t xml:space="preserve">•  Right to Information Act, 2005, §§ 8, 9, 11</w:t>
      </w:r>
    </w:p>
    <w:p>
      <w:pPr>
        <w:pStyle w:val="Bullet"/>
      </w:pPr>
      <w:r>
        <w:t xml:space="preserve">•  Central Public Information Officer, Supreme Court of India v. Subhash Chandra Agarwal, (2020) 5 SCC 481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https://firstprecedent.org/concepts/exemptions-from-disclosure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