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CN-0099 · Constitutional</w:t>
      </w:r>
    </w:p>
    <w:p>
      <w:pPr>
        <w:pStyle w:val="Title"/>
      </w:pPr>
      <w:r>
        <w:t xml:space="preserve">Election Petition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only way to question an election, the bar on courts stepping in midway, and the grounds on which a result is set aside.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329(b)</w:t>
      </w:r>
    </w:p>
    <w:p>
      <w:pPr>
        <w:pStyle w:val="Bullet"/>
      </w:pPr>
      <w:r>
        <w:t xml:space="preserve">•  Representation of the People Act, 1951, §§ 80–100</w:t>
      </w:r>
    </w:p>
    <w:p>
      <w:pPr>
        <w:pStyle w:val="Bullet"/>
      </w:pPr>
      <w:r>
        <w:t xml:space="preserve">•  N.P. Ponnuswami v. Returning Officer, AIR 1952 SC 64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https://firstprecedent.org/concepts/election-petition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