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CN-0454 · Constitutional</w:t>
      </w:r>
    </w:p>
    <w:p>
      <w:pPr>
        <w:pStyle w:val="Title"/>
      </w:pPr>
      <w:r>
        <w:t xml:space="preserve">Election Commission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body that superintends elections, its wide reserve of power where the law is silent, and how its members are placed in relation to each other.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324</w:t>
      </w:r>
    </w:p>
    <w:p>
      <w:pPr>
        <w:pStyle w:val="Bullet"/>
      </w:pPr>
      <w:r>
        <w:t xml:space="preserve">•  Mohinder Singh Gill v. Chief Election Commissioner, (1978) 1 SCC 405</w:t>
      </w:r>
    </w:p>
    <w:p>
      <w:pPr>
        <w:pStyle w:val="Bullet"/>
      </w:pPr>
      <w:r>
        <w:t xml:space="preserve">•  T.N. Seshan v. Union of India, (1995) 4 SCC 611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https://firstprecedent.org/concepts/election-commission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