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CN-0059 · Property</w:t>
      </w:r>
    </w:p>
    <w:p>
      <w:pPr>
        <w:pStyle w:val="Title"/>
      </w:pPr>
      <w:r>
        <w:t xml:space="preserve">Easement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right over another’s land for the beneficial enjoyment of one’s own: how it is acquired, by grant, necessity or prescription, and how it ends.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Easements Act, 1882, §§ 4, 13, 15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https://firstprecedent.org/concepts/easement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