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CN-0228 · Contract</w:t>
      </w:r>
    </w:p>
    <w:p>
      <w:pPr>
        <w:pStyle w:val="Title"/>
      </w:pPr>
      <w:r>
        <w:t xml:space="preserve">Earnest Money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paid to bind a bargain, when the seller may forfeit it, and how it differs from an advance.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Satish Batra v. Sudhir Rawal, (2013) 1 SCC 345</w:t>
      </w:r>
    </w:p>
    <w:p>
      <w:pPr>
        <w:pStyle w:val="Bullet"/>
      </w:pPr>
      <w:r>
        <w:t xml:space="preserve">•  Kailash Nath Associates v. DDA, (2015) 4 SCC 136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https://firstprecedent.org/concepts/earnest-money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