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CN-0431 · Legal History</w:t>
      </w:r>
    </w:p>
    <w:p>
      <w:pPr>
        <w:pStyle w:val="Title"/>
      </w:pPr>
      <w:r>
        <w:t xml:space="preserve">Dyarchy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division of provincial subjects in 1919 between ministers answerable to the legislature and councillors answerable to the Governor.</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1919, 9 &amp; 10 Geo. 5, c. 101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https://firstprecedent.org/concepts/dyarchy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