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CN-0022 · Tort</w:t>
      </w:r>
    </w:p>
    <w:p>
      <w:pPr>
        <w:pStyle w:val="Title"/>
      </w:pPr>
      <w:r>
        <w:t xml:space="preserve">Duty of Care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law requires one person to take care for another. The neighbour principle and its reception in Indian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Donoghue v. Stevenson, [1932] AC 562</w:t>
      </w:r>
    </w:p>
    <w:p>
      <w:pPr>
        <w:pStyle w:val="Bullet"/>
      </w:pPr>
      <w:r>
        <w:t xml:space="preserve">•  Jacob Mathew v. State of Punjab, (2005) 6 SCC 1</w:t>
      </w:r>
    </w:p>
    <w:p>
      <w:pPr>
        <w:pStyle w:val="Bullet"/>
      </w:pPr>
      <w:r>
        <w:t xml:space="preserve">•  Rajkot Municipal Corpn. v. Manjulben Jayantilal Nakum, (1997) 9 SCC 552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https://firstprecedent.org/concepts/duty-of-care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