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CN-0140 · Family</w:t>
      </w:r>
    </w:p>
    <w:p>
      <w:pPr>
        <w:pStyle w:val="Title"/>
      </w:pPr>
      <w:r>
        <w:t xml:space="preserve">Dowry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law treats as dowry, how customary gifts and later demands fit the definition, and whose property it is once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Dowry Prohibition Act, 1961, §§ 2, 6</w:t>
      </w:r>
    </w:p>
    <w:p>
      <w:pPr>
        <w:pStyle w:val="Bullet"/>
      </w:pPr>
      <w:r>
        <w:t xml:space="preserve">•  Pratibha Rani v. Suraj Kumar, (1985) 2 SCC 370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https://firstprecedent.org/concepts/dowry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