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CN-0046 · Competition</w:t>
      </w:r>
    </w:p>
    <w:p>
      <w:pPr>
        <w:pStyle w:val="Title"/>
      </w:pPr>
      <w:r>
        <w:t xml:space="preserve">Dominant Position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position of strength that lets an enterprise act independently of competitors: how it is assessed and why dominance itself is lawful.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 19(4)</w:t>
      </w:r>
    </w:p>
    <w:p>
      <w:pPr>
        <w:pStyle w:val="Bullet"/>
      </w:pPr>
      <w:r>
        <w:t xml:space="preserve">•  CCI v. Fast Way Transmission (P) Ltd., (2018) 4 SCC 316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https://firstprecedent.org/concepts/dominant-position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