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CN-0058 · Private International</w:t>
      </w:r>
    </w:p>
    <w:p>
      <w:pPr>
        <w:pStyle w:val="Title"/>
      </w:pPr>
      <w:r>
        <w:t xml:space="preserve">Domicile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connecting factor for personal status and succession to movables: domicile of origin, of choice, and the single Indian domicile.</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Bank of India Ltd. v. Ram Narain, AIR 1955 SC 36</w:t>
      </w:r>
    </w:p>
    <w:p>
      <w:pPr>
        <w:pStyle w:val="Bullet"/>
      </w:pPr>
      <w:r>
        <w:t xml:space="preserve">•  Indian Succession Act, 1925, §§ 4–19</w:t>
      </w:r>
    </w:p>
    <w:p>
      <w:pPr>
        <w:pStyle w:val="Bullet"/>
      </w:pPr>
      <w:r>
        <w:t xml:space="preserve">•  Pradeep Jain v. Union of India, (1984) 3 SCC 654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https://firstprecedent.org/concepts/domicile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