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CN-0265 · Family</w:t>
      </w:r>
    </w:p>
    <w:p>
      <w:pPr>
        <w:pStyle w:val="Title"/>
      </w:pPr>
      <w:r>
        <w:t xml:space="preserve">Domestic Violence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physical, sexual, verbal, emotional and economic abuse the 2005 Act covers, and the civil orders a magistrate can make.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Women from Domestic Violence Act, 2005, §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https://firstprecedent.org/concepts/domestic-violence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