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CN-0759 · Human Rights</w:t>
      </w:r>
    </w:p>
    <w:p>
      <w:pPr>
        <w:pStyle w:val="Title"/>
      </w:pPr>
      <w:r>
        <w:t xml:space="preserve">Disturbed Area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area in which the armed forces have special powers to use force and arrest, and the limits the courts have set.</w:t>
      </w:r>
    </w:p>
    <w:p>
      <w:pPr>
        <w:pStyle w:val="Guidance"/>
      </w:pPr>
      <w:r>
        <w:t xml:space="preserve">Authorities to start from. These are places to begin, listed by the editors. Read each one in the original and check the citation before you rely on it.</w:t>
      </w:r>
    </w:p>
    <w:p>
      <w:pPr>
        <w:pStyle w:val="Bullet"/>
      </w:pPr>
      <w:r>
        <w:t xml:space="preserve">•  Armed Forces (Special Powers) Act, 1958</w:t>
      </w:r>
    </w:p>
    <w:p>
      <w:pPr>
        <w:pStyle w:val="Bullet"/>
      </w:pPr>
      <w:r>
        <w:t xml:space="preserve">•  Naga People’s Movement of Human Rights v. Union of India, (1998) 2 SCC 109</w:t>
      </w:r>
    </w:p>
    <w:p>
      <w:pPr>
        <w:pStyle w:val="Bullet"/>
      </w:pPr>
      <w:r>
        <w:t xml:space="preserve">•  Extra Judicial Execution Victim Families Assn. v. Union of India, (2016) 14 SCC 536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https://firstprecedent.org/concepts/disturbed-area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