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CN-0115 · Constitutional</w:t>
      </w:r>
    </w:p>
    <w:p>
      <w:pPr>
        <w:pStyle w:val="Title"/>
      </w:pPr>
      <w:r>
        <w:t xml:space="preserve">Disqualification on Conviction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criminal conviction unseats a legislator or bars a candidate, and why the three-month grace period was struck down.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Representation of the People Act, 1951, § 8</w:t>
      </w:r>
    </w:p>
    <w:p>
      <w:pPr>
        <w:pStyle w:val="Bullet"/>
      </w:pPr>
      <w:r>
        <w:t xml:space="preserve">•  Lily Thomas v. Union of India, (2013) 7 SCC 653</w:t>
      </w:r>
    </w:p>
    <w:p>
      <w:pPr>
        <w:pStyle w:val="Bullet"/>
      </w:pPr>
      <w:r>
        <w:t xml:space="preserve">•  Public Interest Foundation v. Union of India, (2019) 3 SCC 224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https://firstprecedent.org/concepts/disqualification-on-conviction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