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CN-0651 · Tax</w:t>
      </w:r>
    </w:p>
    <w:p>
      <w:pPr>
        <w:pStyle w:val="Title"/>
      </w:pPr>
      <w:r>
        <w:t xml:space="preserve">Dispute Resolution Panel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panel of three commissioners to which a foreign company or a transfer pricing assessee may take a draft order.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144C</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https://firstprecedent.org/concepts/dispute-resolution-panel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