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CN-0498 · Criminal</w:t>
      </w:r>
    </w:p>
    <w:p>
      <w:pPr>
        <w:pStyle w:val="Title"/>
      </w:pPr>
      <w:r>
        <w:t xml:space="preserve">Disproportionate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a public servant holding property beyond known sources of income, and the burden of accounting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Corruption Act, 1988, § 13(1)(b)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https://firstprecedent.org/concepts/disproportionate-assets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