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CN-0351 · Labour</w:t>
      </w:r>
    </w:p>
    <w:p>
      <w:pPr>
        <w:pStyle w:val="Title"/>
      </w:pPr>
      <w:r>
        <w:t xml:space="preserve">Disablement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Partial and total loss of earning capacity from an injury at work, and how compensation follows the kind of disablement.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Employees’ Compensation Act, 1923, §§ 2(1)(g), 2(1)(l), 4</w:t>
      </w:r>
    </w:p>
    <w:p>
      <w:pPr>
        <w:pStyle w:val="Bullet"/>
      </w:pPr>
      <w:r>
        <w:t xml:space="preserve">•  Pratap Narain Singh Deo v. Srinivas Sabata, (1976) 1 SCC 289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https://firstprecedent.org/concepts/disablement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