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CN-0364 · IP</w:t>
      </w:r>
    </w:p>
    <w:p>
      <w:pPr>
        <w:pStyle w:val="Title"/>
      </w:pPr>
      <w:r>
        <w:t xml:space="preserve">Design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Features of shape, pattern or ornament applied to an article and judged by the eye, and when a design is new or original.</w:t>
      </w:r>
    </w:p>
    <w:p>
      <w:pPr>
        <w:pStyle w:val="Guidance"/>
      </w:pPr>
      <w:r>
        <w:t xml:space="preserve">Authorities to start from. These are places to begin, listed by the editors. Read each one in the original and check the citation before you rely on it.</w:t>
      </w:r>
    </w:p>
    <w:p>
      <w:pPr>
        <w:pStyle w:val="Bullet"/>
      </w:pPr>
      <w:r>
        <w:t xml:space="preserve">•  Designs Act, 2000, § 2(d)</w:t>
      </w:r>
    </w:p>
    <w:p>
      <w:pPr>
        <w:pStyle w:val="Bullet"/>
      </w:pPr>
      <w:r>
        <w:t xml:space="preserve">•  Bharat Glass Tube Ltd. v. Gopal Glass Works Ltd., (2008) 10 SCC 657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https://firstprecedent.org/concepts/design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