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CN-0259 · Family</w:t>
      </w:r>
    </w:p>
    <w:p>
      <w:pPr>
        <w:pStyle w:val="Title"/>
      </w:pPr>
      <w:r>
        <w:t xml:space="preserve">Desertion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Abandonment of a spouse without cause or consent, the two elements on each side, and why the intention must last the whole period.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13(1)(ib)</w:t>
      </w:r>
    </w:p>
    <w:p>
      <w:pPr>
        <w:pStyle w:val="Bullet"/>
      </w:pPr>
      <w:r>
        <w:t xml:space="preserve">•  Bipinchandra Jaisinghbai Shah v. Prabhavati, AIR 1957 SC 176</w:t>
      </w:r>
    </w:p>
    <w:p>
      <w:pPr>
        <w:pStyle w:val="Bullet"/>
      </w:pPr>
      <w:r>
        <w:t xml:space="preserve">•  Lachman Utamchand Kirpalani v. Meena, AIR 1964 SC 40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https://firstprecedent.org/concepts/desertion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