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CN-0223 · Contract</w:t>
      </w:r>
    </w:p>
    <w:p>
      <w:pPr>
        <w:pStyle w:val="Title"/>
      </w:pPr>
      <w:r>
        <w:t xml:space="preserve">Deficiency in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Any shortcoming in the quality of a service, the range of services the consumer law covers, and its reach to statutory bodies.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2(11)</w:t>
      </w:r>
    </w:p>
    <w:p>
      <w:pPr>
        <w:pStyle w:val="Bullet"/>
      </w:pPr>
      <w:r>
        <w:t xml:space="preserve">•  Lucknow Development Authority v. M.K. Gupta, (1994) 1 SCC 243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https://firstprecedent.org/concepts/deficiency-in-service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