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CN-0662 · Tax</w:t>
      </w:r>
    </w:p>
    <w:p>
      <w:pPr>
        <w:pStyle w:val="Title"/>
      </w:pPr>
      <w:r>
        <w:t xml:space="preserve">Customs Valuation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Transaction value as the basis of duty on imports and exports, and when the declared price may be rejected.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Customs Act, 1962, § 14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https://firstprecedent.org/concepts/customs-valuation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