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CN-0645 · Banking</w:t>
      </w:r>
    </w:p>
    <w:p>
      <w:pPr>
        <w:pStyle w:val="Title"/>
      </w:pPr>
      <w:r>
        <w:t xml:space="preserve">Current and Capital Account Transactions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division of foreign exchange dealings into those generally free and those generally controlled.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 Exchange Management Act, 1999, §§ 5, 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https://firstprecedent.org/concepts/current-and-capital-account-transactions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