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CN-0128 · Criminal</w:t>
      </w:r>
    </w:p>
    <w:p>
      <w:pPr>
        <w:pStyle w:val="Title"/>
      </w:pPr>
      <w:r>
        <w:t xml:space="preserve">Culpable Homicide and Murder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line between culpable homicide and murder, drawn by degrees of intention and knowledge, and the way courts work through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299, 300 (now Bharatiya Nyaya Sanhita, 2023, §§ 100, 101)</w:t>
      </w:r>
    </w:p>
    <w:p>
      <w:pPr>
        <w:pStyle w:val="Bullet"/>
      </w:pPr>
      <w:r>
        <w:t xml:space="preserve">•  State of A.P. v. Rayavarapu Punnayya, (1976) 4 SCC 382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https://firstprecedent.org/concepts/culpable-homicide-and-murder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