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CN-0716 · Environment</w:t>
      </w:r>
    </w:p>
    <w:p>
      <w:pPr>
        <w:pStyle w:val="Title"/>
      </w:pPr>
      <w:r>
        <w:t xml:space="preserve">Cruelty to Animals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acts the 1960 statute treats as cruelty, the exceptions, and the reading of the Act in favour of animal welfare.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Prevention of Cruelty to Animals Act, 1960, § 11</w:t>
      </w:r>
    </w:p>
    <w:p>
      <w:pPr>
        <w:pStyle w:val="Bullet"/>
      </w:pPr>
      <w:r>
        <w:t xml:space="preserve">•  Animal Welfare Board of India v. A. Nagaraja, (2014) 7 SCC 547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https://firstprecedent.org/concepts/cruelty-to-animals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