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CN-0758 · Human Rights</w:t>
      </w:r>
    </w:p>
    <w:p>
      <w:pPr>
        <w:pStyle w:val="Title"/>
      </w:pPr>
      <w:r>
        <w:t xml:space="preserve">Criminalisation of Begging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anti-beggary laws, and the striking down of the Delhi provisions as a punishment for poverty.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Harsh Mander v. Union of India, 2018 SCC OnLine Del 10427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https://firstprecedent.org/concepts/criminalisation-of-begging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